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11" w:type="dxa"/>
        <w:tblInd w:w="-360" w:type="dxa"/>
        <w:tblLook w:val="04A0" w:firstRow="1" w:lastRow="0" w:firstColumn="1" w:lastColumn="0" w:noHBand="0" w:noVBand="1"/>
      </w:tblPr>
      <w:tblGrid>
        <w:gridCol w:w="360"/>
        <w:gridCol w:w="960"/>
        <w:gridCol w:w="1340"/>
        <w:gridCol w:w="501"/>
        <w:gridCol w:w="1499"/>
        <w:gridCol w:w="1041"/>
        <w:gridCol w:w="219"/>
        <w:gridCol w:w="1161"/>
        <w:gridCol w:w="19"/>
        <w:gridCol w:w="1990"/>
        <w:gridCol w:w="1463"/>
        <w:gridCol w:w="630"/>
        <w:gridCol w:w="1128"/>
      </w:tblGrid>
      <w:tr w:rsidR="00A071B8" w:rsidRPr="00A071B8" w:rsidTr="001B1499">
        <w:trPr>
          <w:trHeight w:val="315"/>
        </w:trPr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GIÁO DỤC VÀ ĐÀO TẠO THÀNH PHỐ HỒ CHÍ MINH</w:t>
            </w: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42F" w:rsidRPr="00A071B8" w:rsidTr="001B1499">
        <w:trPr>
          <w:trHeight w:val="315"/>
        </w:trPr>
        <w:tc>
          <w:tcPr>
            <w:tcW w:w="105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2F" w:rsidRPr="0018242F" w:rsidRDefault="0018242F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82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ĐIỂM THI TỐT NGHIỆP THPT</w:t>
            </w:r>
            <w:r w:rsidRPr="00182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vi-VN"/>
              </w:rPr>
              <w:t xml:space="preserve"> </w:t>
            </w:r>
            <w:r w:rsidRPr="00182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TRƯỜNG THPT GÒ VẤP-T124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2F" w:rsidRPr="00A071B8" w:rsidRDefault="0018242F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2F" w:rsidRPr="00A071B8" w:rsidRDefault="0018242F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1B1499">
        <w:trPr>
          <w:trHeight w:val="315"/>
        </w:trPr>
        <w:tc>
          <w:tcPr>
            <w:tcW w:w="5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18242F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Gò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vấp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02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2021</w:t>
            </w:r>
          </w:p>
        </w:tc>
      </w:tr>
      <w:tr w:rsidR="00A071B8" w:rsidRPr="00A071B8" w:rsidTr="001B1499">
        <w:trPr>
          <w:trHeight w:val="315"/>
        </w:trPr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1B1499">
        <w:trPr>
          <w:trHeight w:val="315"/>
        </w:trPr>
        <w:tc>
          <w:tcPr>
            <w:tcW w:w="105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1B07E0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0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BÁO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1B1499">
        <w:trPr>
          <w:trHeight w:val="315"/>
        </w:trPr>
        <w:tc>
          <w:tcPr>
            <w:tcW w:w="105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89" w:rsidRDefault="00A071B8" w:rsidP="0049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xét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nghiệm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cho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THÍ SINH đăng ký dự thi</w:t>
            </w:r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071B8" w:rsidRPr="00A071B8" w:rsidRDefault="00493289" w:rsidP="0049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Kỳ thi TN THPT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</w:t>
            </w:r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tại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THPT GÒ VẤP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1B1499">
        <w:trPr>
          <w:trHeight w:val="315"/>
        </w:trPr>
        <w:tc>
          <w:tcPr>
            <w:tcW w:w="105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071B8" w:rsidRPr="00A071B8" w:rsidRDefault="00493289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-----------------------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1B1499">
        <w:trPr>
          <w:trHeight w:val="315"/>
        </w:trPr>
        <w:tc>
          <w:tcPr>
            <w:tcW w:w="105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F8355C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                 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Căn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cứ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1935/GDĐT-KTCL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Khảo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THPT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2021.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-124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CB-GV-NV ,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1B1499">
        <w:trPr>
          <w:trHeight w:val="315"/>
        </w:trPr>
        <w:tc>
          <w:tcPr>
            <w:tcW w:w="105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1B1499">
        <w:trPr>
          <w:trHeight w:val="315"/>
        </w:trPr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xét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nghiệm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  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THCS NGUYỄN VĂN TRỖI -</w:t>
            </w: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1B1499">
        <w:trPr>
          <w:trHeight w:val="390"/>
        </w:trPr>
        <w:tc>
          <w:tcPr>
            <w:tcW w:w="105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112/24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Nguyễn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Thái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Sơn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P3,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Gò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vấp</w:t>
            </w:r>
            <w:proofErr w:type="spellEnd"/>
          </w:p>
          <w:p w:rsidR="00E72CDE" w:rsidRPr="00E72CDE" w:rsidRDefault="00E72CDE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Ngày test: 3/7/2021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1B1499">
        <w:trPr>
          <w:trHeight w:val="315"/>
        </w:trPr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1B8" w:rsidRPr="00A071B8" w:rsidRDefault="00A071B8" w:rsidP="00F8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55C" w:rsidTr="001B1499">
        <w:trPr>
          <w:gridBefore w:val="1"/>
          <w:gridAfter w:val="2"/>
          <w:wBefore w:w="360" w:type="dxa"/>
          <w:wAfter w:w="1761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5C" w:rsidRDefault="00F835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Mã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br/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điểm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thi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5C" w:rsidRDefault="00F835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Tên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điểm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thi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55C" w:rsidRP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vi-V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vi-VN"/>
              </w:rPr>
              <w:t>TÊN ĐIỂM XÉT NGHIỆM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5C" w:rsidRDefault="00F835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Phòng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thi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5C" w:rsidRDefault="00F835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Phòng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chờ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TEST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5C" w:rsidRDefault="00F835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 TEST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5C" w:rsidRP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vi-V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vi-VN"/>
              </w:rPr>
              <w:t>Ghi chú</w:t>
            </w: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THCS NGUYỄN VĂN TRỖI</w:t>
            </w:r>
          </w:p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112/24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Nguyễn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Thái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Sơn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P3,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Gò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vấp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5D" w:rsidRDefault="0051405D">
            <w:pPr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Ca 1: 8g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vi-VN"/>
              </w:rPr>
              <w:t>00</w:t>
            </w:r>
          </w:p>
          <w:p w:rsidR="0002607D" w:rsidRPr="0051405D" w:rsidRDefault="0002607D">
            <w:pP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 w:rsidRPr="0051405D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9g00</w:t>
            </w:r>
            <w:r w:rsidRPr="0051405D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br/>
            </w:r>
            <w:r w:rsidRPr="0051405D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br/>
            </w:r>
            <w:r w:rsidRPr="0051405D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br/>
            </w:r>
            <w:r w:rsidRPr="0051405D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br/>
            </w:r>
            <w:r w:rsidRPr="0051405D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br/>
              <w:t xml:space="preserve">                          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3061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 w:rsidP="000C7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C7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3063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4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C7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5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C7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3065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6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C7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3066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C7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3067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8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C7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9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C7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3069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10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11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05D" w:rsidRPr="0051405D" w:rsidRDefault="0002607D">
            <w:pPr>
              <w:rPr>
                <w:b/>
                <w:color w:val="000000"/>
                <w:sz w:val="48"/>
                <w:szCs w:val="48"/>
                <w:lang w:val="vi-VN"/>
              </w:rPr>
            </w:pPr>
            <w:r w:rsidRPr="0051405D">
              <w:rPr>
                <w:b/>
                <w:color w:val="000000"/>
                <w:sz w:val="48"/>
                <w:szCs w:val="48"/>
              </w:rPr>
              <w:t>Ca 2: 9g</w:t>
            </w:r>
            <w:r w:rsidR="0051405D">
              <w:rPr>
                <w:b/>
                <w:color w:val="000000"/>
                <w:sz w:val="48"/>
                <w:szCs w:val="48"/>
              </w:rPr>
              <w:t>00</w:t>
            </w:r>
            <w:r w:rsidR="0051405D">
              <w:rPr>
                <w:b/>
                <w:color w:val="000000"/>
                <w:sz w:val="48"/>
                <w:szCs w:val="48"/>
                <w:lang w:val="vi-VN"/>
              </w:rPr>
              <w:t>-</w:t>
            </w:r>
          </w:p>
          <w:p w:rsidR="0002607D" w:rsidRPr="0051405D" w:rsidRDefault="0002607D">
            <w:pP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 w:rsidRPr="0051405D">
              <w:rPr>
                <w:b/>
                <w:color w:val="000000"/>
                <w:sz w:val="48"/>
                <w:szCs w:val="48"/>
              </w:rPr>
              <w:t>10g00</w:t>
            </w:r>
            <w:r w:rsidRPr="0051405D">
              <w:rPr>
                <w:b/>
                <w:color w:val="000000"/>
                <w:sz w:val="48"/>
                <w:szCs w:val="48"/>
              </w:rPr>
              <w:br/>
            </w:r>
            <w:r w:rsidRPr="0051405D">
              <w:rPr>
                <w:b/>
                <w:color w:val="000000"/>
                <w:sz w:val="48"/>
                <w:szCs w:val="48"/>
              </w:rPr>
              <w:br/>
            </w:r>
            <w:r w:rsidRPr="0051405D">
              <w:rPr>
                <w:b/>
                <w:color w:val="000000"/>
                <w:sz w:val="48"/>
                <w:szCs w:val="48"/>
              </w:rPr>
              <w:br/>
            </w:r>
            <w:r w:rsidRPr="0051405D">
              <w:rPr>
                <w:b/>
                <w:color w:val="000000"/>
                <w:sz w:val="48"/>
                <w:szCs w:val="48"/>
              </w:rPr>
              <w:br/>
            </w:r>
            <w:r w:rsidRPr="0051405D">
              <w:rPr>
                <w:b/>
                <w:color w:val="000000"/>
                <w:sz w:val="48"/>
                <w:szCs w:val="48"/>
              </w:rPr>
              <w:br/>
              <w:t xml:space="preserve">                          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 w:rsidP="00026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THCS NGUYỄN VĂN TRỖI</w:t>
            </w:r>
          </w:p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112/24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Nguyễn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Thái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Sơn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P3,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Gò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vấp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12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9D07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3072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13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9D07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3073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14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9D07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3074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15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9D07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16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9D07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3076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17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9D07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3077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9D07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3078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19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3079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20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 w:rsidP="000260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07D" w:rsidRDefault="0002607D" w:rsidP="00026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THCS NGUYỄN VĂN TRỖI</w:t>
            </w:r>
          </w:p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112/24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Nguyễn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Thái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Sơn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P3,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Gò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vấp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21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5D" w:rsidRPr="0051405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51405D"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  <w:t xml:space="preserve">Ca 3: </w:t>
            </w:r>
          </w:p>
          <w:p w:rsidR="0051405D" w:rsidRPr="0051405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  <w:lang w:val="vi-VN"/>
              </w:rPr>
            </w:pPr>
            <w:r w:rsidRPr="0051405D"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  <w:t>10g</w:t>
            </w:r>
            <w:r w:rsidR="0051405D" w:rsidRPr="0051405D">
              <w:rPr>
                <w:rFonts w:ascii="Calibri" w:hAnsi="Calibri" w:cs="Calibri"/>
                <w:b/>
                <w:bCs/>
                <w:color w:val="000000"/>
                <w:sz w:val="48"/>
                <w:szCs w:val="48"/>
                <w:lang w:val="vi-VN"/>
              </w:rPr>
              <w:t>00</w:t>
            </w:r>
          </w:p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1405D"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  <w:t>-11g30</w:t>
            </w:r>
            <w:r w:rsidRPr="0051405D"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  <w:br/>
            </w:r>
            <w:r w:rsidRPr="0051405D"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 xml:space="preserve">                          </w:t>
            </w: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3081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22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 w:rsidP="0002607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3082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23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 w:rsidP="0002607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3083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24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 w:rsidP="0002607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3084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25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 w:rsidP="0002607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3085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26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 w:rsidP="0002607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THPT </w:t>
            </w:r>
            <w:proofErr w:type="spellStart"/>
            <w:r>
              <w:rPr>
                <w:rFonts w:ascii="Calibri" w:hAnsi="Calibri" w:cs="Calibri"/>
                <w:color w:val="000000"/>
              </w:rPr>
              <w:t>Gò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Vấp</w:t>
            </w:r>
            <w:proofErr w:type="spellEnd"/>
          </w:p>
        </w:tc>
        <w:tc>
          <w:tcPr>
            <w:tcW w:w="20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0000FF"/>
              </w:rPr>
            </w:pPr>
            <w:r w:rsidRPr="00B33662">
              <w:rPr>
                <w:rFonts w:ascii="Calibri" w:hAnsi="Calibri" w:cs="Calibri"/>
                <w:b/>
                <w:bCs/>
                <w:color w:val="0000FF"/>
                <w:highlight w:val="yellow"/>
              </w:rPr>
              <w:t>3948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27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07D" w:rsidRDefault="0002607D" w:rsidP="0002607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607D" w:rsidTr="001B1499">
        <w:trPr>
          <w:gridBefore w:val="1"/>
          <w:gridAfter w:val="2"/>
          <w:wBefore w:w="360" w:type="dxa"/>
          <w:wAfter w:w="1761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Tổng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số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sinh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07D" w:rsidRDefault="0002607D" w:rsidP="000260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636</w:t>
            </w:r>
          </w:p>
        </w:tc>
      </w:tr>
      <w:tr w:rsidR="0002607D" w:rsidRPr="00A071B8" w:rsidTr="001B1499">
        <w:trPr>
          <w:trHeight w:val="315"/>
        </w:trPr>
        <w:tc>
          <w:tcPr>
            <w:tcW w:w="105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7D" w:rsidRPr="00A071B8" w:rsidRDefault="0002607D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Thí sinh</w:t>
            </w: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rồi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vẫn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này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7D" w:rsidRPr="00A071B8" w:rsidRDefault="0002607D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7D" w:rsidRPr="00A071B8" w:rsidRDefault="0002607D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607D" w:rsidRPr="00E72CDE" w:rsidTr="001B1499">
        <w:trPr>
          <w:trHeight w:val="315"/>
        </w:trPr>
        <w:tc>
          <w:tcPr>
            <w:tcW w:w="105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07D" w:rsidRDefault="0002607D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Pr="00036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Thí sinh đi đúng thời gian được sắp xếp và thực hiện đúng 5K</w:t>
            </w:r>
            <w:r w:rsidR="001B1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:rsidR="0056601F" w:rsidRDefault="0056601F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Thí sinh mang theo Giấy báo dự thi để được sắp xếp vào phòng xét nghiệm theo phòng thi.</w:t>
            </w:r>
          </w:p>
          <w:p w:rsidR="001B1499" w:rsidRPr="00036A60" w:rsidRDefault="001B1499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Sau khi xét nghiệm, thí sinh sẽ được cấp Giấy xác nhận xét nghiệm Covid để dùng trong kì thi TNTHPT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7D" w:rsidRPr="00036A60" w:rsidRDefault="0002607D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7D" w:rsidRPr="00036A60" w:rsidRDefault="0002607D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</w:p>
        </w:tc>
      </w:tr>
      <w:tr w:rsidR="0002607D" w:rsidRPr="00A071B8" w:rsidTr="001B1499">
        <w:trPr>
          <w:trHeight w:val="315"/>
        </w:trPr>
        <w:tc>
          <w:tcPr>
            <w:tcW w:w="5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07D" w:rsidRPr="00A071B8" w:rsidRDefault="0002607D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Trân trọng.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7D" w:rsidRPr="00A071B8" w:rsidRDefault="0002607D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7D" w:rsidRPr="00A071B8" w:rsidRDefault="0002607D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7D" w:rsidRPr="00A071B8" w:rsidRDefault="0002607D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7D" w:rsidRPr="00A071B8" w:rsidRDefault="0002607D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607D" w:rsidRPr="00A071B8" w:rsidTr="001B1499">
        <w:trPr>
          <w:trHeight w:val="315"/>
        </w:trPr>
        <w:tc>
          <w:tcPr>
            <w:tcW w:w="3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7D" w:rsidRPr="00A071B8" w:rsidRDefault="0002607D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7D" w:rsidRPr="00A071B8" w:rsidRDefault="0002607D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7D" w:rsidRPr="00A071B8" w:rsidRDefault="0002607D" w:rsidP="000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TRƯỞNG ĐIỂM THI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7D" w:rsidRPr="00A071B8" w:rsidRDefault="0002607D" w:rsidP="000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07D" w:rsidRPr="00A071B8" w:rsidRDefault="0002607D" w:rsidP="0002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5056" w:rsidRDefault="00A25056"/>
    <w:sectPr w:rsidR="00A25056" w:rsidSect="00036A6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A2EB9"/>
    <w:multiLevelType w:val="hybridMultilevel"/>
    <w:tmpl w:val="0E681BC2"/>
    <w:lvl w:ilvl="0" w:tplc="635EA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B8"/>
    <w:rsid w:val="0002607D"/>
    <w:rsid w:val="00036A60"/>
    <w:rsid w:val="00134165"/>
    <w:rsid w:val="0018242F"/>
    <w:rsid w:val="001B07E0"/>
    <w:rsid w:val="001B1499"/>
    <w:rsid w:val="00300F1A"/>
    <w:rsid w:val="00493289"/>
    <w:rsid w:val="0051405D"/>
    <w:rsid w:val="005442CC"/>
    <w:rsid w:val="0056601F"/>
    <w:rsid w:val="0057558D"/>
    <w:rsid w:val="006536FD"/>
    <w:rsid w:val="006F6E1A"/>
    <w:rsid w:val="007F04B5"/>
    <w:rsid w:val="00A071B8"/>
    <w:rsid w:val="00A25056"/>
    <w:rsid w:val="00B33662"/>
    <w:rsid w:val="00E72CDE"/>
    <w:rsid w:val="00F8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18E5"/>
  <w15:chartTrackingRefBased/>
  <w15:docId w15:val="{3AF72B21-69D9-4DBD-89EE-43023665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LKM</dc:creator>
  <cp:keywords/>
  <dc:description/>
  <cp:lastModifiedBy>LKM</cp:lastModifiedBy>
  <cp:revision>3</cp:revision>
  <dcterms:created xsi:type="dcterms:W3CDTF">2021-07-02T08:49:00Z</dcterms:created>
  <dcterms:modified xsi:type="dcterms:W3CDTF">2021-07-02T08:51:00Z</dcterms:modified>
</cp:coreProperties>
</file>